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Document Name: GCT3009-01 Protocol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Genmab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Document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Number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: TMF-29340</w:t>
      </w:r>
    </w:p>
    <w:p w:rsid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Version: 6.0</w:t>
      </w:r>
    </w:p>
    <w:p w:rsid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nl-NL"/>
        </w:rPr>
      </w:pPr>
      <w:r w:rsidRPr="00DA17A4">
        <w:rPr>
          <w:rFonts w:ascii="Times New Roman" w:hAnsi="Times New Roman" w:cs="Times New Roman"/>
          <w:b/>
          <w:bCs/>
          <w:color w:val="000000"/>
          <w:lang w:val="nl-NL"/>
        </w:rPr>
        <w:t>5 TRIAL POPULATION(S)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nl-NL"/>
        </w:rPr>
      </w:pPr>
      <w:r w:rsidRPr="00DA17A4">
        <w:rPr>
          <w:rFonts w:ascii="Times New Roman" w:hAnsi="Times New Roman" w:cs="Times New Roman"/>
          <w:b/>
          <w:bCs/>
          <w:color w:val="000000"/>
          <w:lang w:val="nl-NL"/>
        </w:rPr>
        <w:t xml:space="preserve">5.1 </w:t>
      </w:r>
      <w:proofErr w:type="spellStart"/>
      <w:r w:rsidRPr="00DA17A4">
        <w:rPr>
          <w:rFonts w:ascii="Times New Roman" w:hAnsi="Times New Roman" w:cs="Times New Roman"/>
          <w:b/>
          <w:bCs/>
          <w:color w:val="000000"/>
          <w:lang w:val="nl-NL"/>
        </w:rPr>
        <w:t>Inclusion</w:t>
      </w:r>
      <w:proofErr w:type="spellEnd"/>
      <w:r w:rsidRPr="00DA17A4">
        <w:rPr>
          <w:rFonts w:ascii="Times New Roman" w:hAnsi="Times New Roman" w:cs="Times New Roman"/>
          <w:b/>
          <w:bCs/>
          <w:color w:val="000000"/>
          <w:lang w:val="nl-NL"/>
        </w:rPr>
        <w:t xml:space="preserve"> Criteria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Each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potential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subject must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fulfill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following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criteria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enrolled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trial.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1. Be at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least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18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years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age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2. Must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sign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informed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consent form (ICF) prior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screening procedures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indicating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that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understand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purpose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trial,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procedures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required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trial,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are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willing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participate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trial prior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other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trial-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related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assessments or procedures.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3.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Criterion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updated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 per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Amendment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1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3.1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Criterion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updated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 per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Amendment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3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3.2 Has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histologically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cytologically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confirmed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relapsed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refractory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NHL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no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available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standard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is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candidate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available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standard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whom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,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opinion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investigator,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experimental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GEN3009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may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beneficial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All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subjects must have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received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least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two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prior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lines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systemic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,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a. For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indolent NHL (FL, MZL,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SLL) as well 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aggressive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NHL (DLBCL,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HGBCL,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PMBCL), at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least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one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two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prior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lines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treatment must have been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a CD20-containing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chemotherapy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regimen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;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b. For MCL, subjects must have had or are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otherwise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ineligible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treatment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BTK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inhibitor,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;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c. For CLL, subjects must have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received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least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one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prior line of BTK inhibitor or BCL-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2 inhibitor.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: For B-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NHL, 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>“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>elapsed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” is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defined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as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reappearance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growth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of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lymphoma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after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at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least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6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duration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of response. “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Refractory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>isease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” is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defined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as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failure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achieve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response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after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least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2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cycles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reappearance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after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duration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response of &lt; 6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lang w:val="nl-NL"/>
        </w:rPr>
      </w:pPr>
      <w:r w:rsidRPr="00DA17A4">
        <w:rPr>
          <w:rFonts w:ascii="Times New Roman" w:eastAsia="TimesNewRomanPSMT" w:hAnsi="Times New Roman" w:cs="Times New Roman"/>
          <w:color w:val="000000"/>
          <w:lang w:val="nl-NL"/>
        </w:rPr>
        <w:t>For CLL, “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relapsed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” is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defined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as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evidence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progression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in a subject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who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has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previously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achieved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a CR or PR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≥6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. “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Refractory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” i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defined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 treatment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failure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achieving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CR or PR) or 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progression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6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from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last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4. Has 1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following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NHL subtypes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Escalation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: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a. DLBCL, </w:t>
      </w: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de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novo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histologically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transformed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b. HGBCL (</w:t>
      </w:r>
      <w:proofErr w:type="spellStart"/>
      <w:r w:rsidRPr="00DA17A4">
        <w:rPr>
          <w:rFonts w:ascii="Times New Roman" w:hAnsi="Times New Roman" w:cs="Times New Roman"/>
          <w:color w:val="0000FF"/>
          <w:lang w:val="nl-NL"/>
        </w:rPr>
        <w:t>Swerdlow</w:t>
      </w:r>
      <w:proofErr w:type="spellEnd"/>
      <w:r w:rsidRPr="00DA17A4">
        <w:rPr>
          <w:rFonts w:ascii="Times New Roman" w:hAnsi="Times New Roman" w:cs="Times New Roman"/>
          <w:color w:val="0000FF"/>
          <w:lang w:val="nl-NL"/>
        </w:rPr>
        <w:t xml:space="preserve"> et al., 2016</w:t>
      </w:r>
      <w:r w:rsidRPr="00DA17A4">
        <w:rPr>
          <w:rFonts w:ascii="Times New Roman" w:hAnsi="Times New Roman" w:cs="Times New Roman"/>
          <w:color w:val="000000"/>
          <w:lang w:val="nl-NL"/>
        </w:rPr>
        <w:t>)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c. PMBCL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d. FL,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advanced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symptomatic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need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treatment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e. MCL, without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leukemic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manifestation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f. MZL,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either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nodal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extranodal or mucosa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associated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need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treatment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initiation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based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symptoms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/or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burden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g. SLL,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need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treatment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based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symptoms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/or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burden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h. CLL,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including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following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parameters: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Criterion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updated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 per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Amendment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3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ia.B-cell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count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&lt; 100</w:t>
      </w:r>
      <w:r w:rsidRPr="00DA17A4">
        <w:rPr>
          <w:rFonts w:ascii="Times New Roman" w:eastAsia="SymbolMT" w:hAnsi="Times New Roman" w:cs="Times New Roman"/>
          <w:color w:val="000000"/>
          <w:lang w:val="nl-NL"/>
        </w:rPr>
        <w:t></w:t>
      </w:r>
      <w:r w:rsidRPr="00DA17A4">
        <w:rPr>
          <w:rFonts w:ascii="Times New Roman" w:hAnsi="Times New Roman" w:cs="Times New Roman"/>
          <w:color w:val="000000"/>
          <w:lang w:val="nl-NL"/>
        </w:rPr>
        <w:t>109/L (100,000/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μL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) 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peripheral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blood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ii.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Presence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measurable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lymphadenopathy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/or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organomegaly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iii.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Leukemic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are small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mature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lymphocytes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prolymphocytes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must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exceed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55%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blood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lymphocytes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iv. CLL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immunophenotype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demonstrate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clonal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population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,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expressing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surface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markers CD19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CD20, as well as CD5.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Subjects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bright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surface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immunoglobulin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expression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lack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CD23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expression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 &gt; 10%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must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lack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t(11;14)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translocation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interphase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cytogenetics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5. Has 1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following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NHL subtypes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Expansion: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a. DLBCL, </w:t>
      </w: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de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novo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histologically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transformed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lastRenderedPageBreak/>
        <w:t xml:space="preserve">b. FL,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advanced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symptomatic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need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treatment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initiation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c. CLL,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including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following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: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Criterion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updated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 per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Amendment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3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ia.B-cell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count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&lt; 100</w:t>
      </w:r>
      <w:r w:rsidRPr="00DA17A4">
        <w:rPr>
          <w:rFonts w:ascii="Times New Roman" w:eastAsia="SymbolMT" w:hAnsi="Times New Roman" w:cs="Times New Roman"/>
          <w:color w:val="000000"/>
          <w:lang w:val="nl-NL"/>
        </w:rPr>
        <w:t></w:t>
      </w:r>
      <w:r w:rsidRPr="00DA17A4">
        <w:rPr>
          <w:rFonts w:ascii="Times New Roman" w:hAnsi="Times New Roman" w:cs="Times New Roman"/>
          <w:color w:val="000000"/>
          <w:lang w:val="nl-NL"/>
        </w:rPr>
        <w:t>109/L (100,000/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μL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) 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peripheral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blood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ii.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Presence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measurable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lymphadenopathy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/or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organomegaly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iii.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Leukemic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are small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mature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lymphocytes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prolymphocytes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must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exceed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55%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blood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lymphocytes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iv. CLL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immunophenotype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demonstrate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clonal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population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,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expressing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surface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markers CD19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CD20, as well as CD5.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Subjects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bright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surface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immunoglobulin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expression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lack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CD23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expression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 &gt; 10%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must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lack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t(11;14)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translocation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interphase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cytogenetics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6. Has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measurable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NHL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a.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fluorodeoxyglucose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(FDG)-positron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emission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tomography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(PET) CT scan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demonstrating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positive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lesion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compatible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CT (or MRI)-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defined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anatomical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tumor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sites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b/>
          <w:bCs/>
          <w:i/>
          <w:iCs/>
          <w:color w:val="000000"/>
          <w:lang w:val="nl-NL"/>
        </w:rPr>
        <w:t>and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b. A CT scan (or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magnetic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resonance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imaging [MRI]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)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involvement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of ≥ 2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clearly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demarcated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lesions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nodes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long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axis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&gt; 1.5 cm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short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axis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&gt; 1.0 cm or 1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clearly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demarcated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lesion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/node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a long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axis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&gt; 2.0 cm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a short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axis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≥ </w:t>
      </w:r>
      <w:r w:rsidRPr="00DA17A4">
        <w:rPr>
          <w:rFonts w:ascii="Times New Roman" w:hAnsi="Times New Roman" w:cs="Times New Roman"/>
          <w:color w:val="000000"/>
          <w:lang w:val="nl-NL"/>
        </w:rPr>
        <w:t>1.0 cm.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7. Has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active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CLL: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Progressive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symptomatic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least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1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following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criteria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met (</w:t>
      </w:r>
      <w:proofErr w:type="spellStart"/>
      <w:r w:rsidRPr="00DA17A4">
        <w:rPr>
          <w:rFonts w:ascii="Times New Roman" w:hAnsi="Times New Roman" w:cs="Times New Roman"/>
          <w:color w:val="0000FF"/>
          <w:lang w:val="nl-NL"/>
        </w:rPr>
        <w:t>Hallek</w:t>
      </w:r>
      <w:proofErr w:type="spellEnd"/>
      <w:r w:rsidRPr="00DA17A4">
        <w:rPr>
          <w:rFonts w:ascii="Times New Roman" w:hAnsi="Times New Roman" w:cs="Times New Roman"/>
          <w:color w:val="0000FF"/>
          <w:lang w:val="nl-NL"/>
        </w:rPr>
        <w:t xml:space="preserve"> et al., 2018</w:t>
      </w:r>
      <w:r w:rsidRPr="00DA17A4">
        <w:rPr>
          <w:rFonts w:ascii="Times New Roman" w:hAnsi="Times New Roman" w:cs="Times New Roman"/>
          <w:color w:val="000000"/>
          <w:lang w:val="nl-NL"/>
        </w:rPr>
        <w:t>):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a.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Evidence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progressive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marrow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failure 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manifested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development of, or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worsening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anemia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/or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thrombocytopenia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b. Massive (ie, 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≥ 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6 cm below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left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costal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margin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)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progressive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symptomatic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splenomegaly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c. Massive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nodes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(ie, 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≥ 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10 cm 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longest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diameter)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progressive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symptomatic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lymphadenopathy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d.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Progressive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lymphocytosis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increase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≥ 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50% over a 2-month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period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, or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lymphocyte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doubling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time (LDT) &lt; 6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e.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Autoimmune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complications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including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anemia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thrombocytopenia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poorly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responsive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corticosteroids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f.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Symptomatic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functional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extranodal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involvement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(eg, skin,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kidney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lung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spine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).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g.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Disease-related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symptoms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defined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following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: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i.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Unintentional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weight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loss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≥ 10%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within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previous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6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months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ii. Significant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fatigue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iii.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Fevers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≥ 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100.5°F or 38.0°C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2 or more weeks without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evidence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infection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iv.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Night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sweats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≥ 1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month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without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evidence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infection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8. Has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Eastern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Cooperative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Oncology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Group (ECOG) performance status of 0-1.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9. Has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acceptable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laboratory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parameters 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follows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: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nl-NL"/>
        </w:rPr>
      </w:pPr>
      <w:r w:rsidRPr="00DA17A4">
        <w:rPr>
          <w:rFonts w:ascii="Times New Roman" w:hAnsi="Times New Roman" w:cs="Times New Roman"/>
          <w:b/>
          <w:bCs/>
          <w:color w:val="000000"/>
          <w:lang w:val="nl-NL"/>
        </w:rPr>
        <w:t xml:space="preserve">Parameter </w:t>
      </w:r>
      <w:proofErr w:type="spellStart"/>
      <w:r w:rsidRPr="00DA17A4">
        <w:rPr>
          <w:rFonts w:ascii="Times New Roman" w:hAnsi="Times New Roman" w:cs="Times New Roman"/>
          <w:b/>
          <w:bCs/>
          <w:color w:val="000000"/>
          <w:lang w:val="nl-NL"/>
        </w:rPr>
        <w:t>Result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a. Creatinine clearance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&gt; 50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/min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Cockcroft-Gault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) or serum creatinine </w:t>
      </w:r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≤ </w:t>
      </w:r>
      <w:r w:rsidRPr="00DA17A4">
        <w:rPr>
          <w:rFonts w:ascii="Times New Roman" w:hAnsi="Times New Roman" w:cs="Times New Roman"/>
          <w:color w:val="000000"/>
          <w:lang w:val="nl-NL"/>
        </w:rPr>
        <w:t>1.5 X ULN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refer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r w:rsidRPr="00DA17A4">
        <w:rPr>
          <w:rFonts w:ascii="Times New Roman" w:hAnsi="Times New Roman" w:cs="Times New Roman"/>
          <w:color w:val="0000FF"/>
          <w:lang w:val="nl-NL"/>
        </w:rPr>
        <w:t>Appendix 1</w:t>
      </w:r>
      <w:r w:rsidRPr="00DA17A4">
        <w:rPr>
          <w:rFonts w:ascii="Times New Roman" w:hAnsi="Times New Roman" w:cs="Times New Roman"/>
          <w:color w:val="000000"/>
          <w:lang w:val="nl-NL"/>
        </w:rPr>
        <w:t>)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b. Serum alanine transaminase (ALT)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≤ 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2.5 </w:t>
      </w:r>
      <w:r w:rsidRPr="00DA17A4">
        <w:rPr>
          <w:rFonts w:ascii="Times New Roman" w:eastAsia="SymbolMT" w:hAnsi="Times New Roman" w:cs="Times New Roman"/>
          <w:color w:val="000000"/>
          <w:lang w:val="nl-NL"/>
        </w:rPr>
        <w:t xml:space="preserve">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upper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limit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normal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(ULN)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Note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: </w:t>
      </w:r>
      <w:proofErr w:type="spellStart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>If</w:t>
      </w:r>
      <w:proofErr w:type="spellEnd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>liver</w:t>
      </w:r>
      <w:proofErr w:type="spellEnd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 tumor/metastases are present, </w:t>
      </w:r>
      <w:proofErr w:type="spellStart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>then</w:t>
      </w:r>
      <w:proofErr w:type="spellEnd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 ≤ </w:t>
      </w: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5 </w:t>
      </w:r>
      <w:r w:rsidRPr="00DA17A4">
        <w:rPr>
          <w:rFonts w:ascii="Times New Roman" w:eastAsia="SymbolMT" w:hAnsi="Times New Roman" w:cs="Times New Roman"/>
          <w:color w:val="000000"/>
          <w:lang w:val="nl-NL"/>
        </w:rPr>
        <w:t xml:space="preserve"> </w:t>
      </w: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ULN is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allowed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c. Serum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aspartate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transaminase (AST)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≤ 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2.5 </w:t>
      </w:r>
      <w:r w:rsidRPr="00DA17A4">
        <w:rPr>
          <w:rFonts w:ascii="Times New Roman" w:eastAsia="SymbolMT" w:hAnsi="Times New Roman" w:cs="Times New Roman"/>
          <w:color w:val="000000"/>
          <w:lang w:val="nl-NL"/>
        </w:rPr>
        <w:t xml:space="preserve"> </w:t>
      </w:r>
      <w:r w:rsidRPr="00DA17A4">
        <w:rPr>
          <w:rFonts w:ascii="Times New Roman" w:hAnsi="Times New Roman" w:cs="Times New Roman"/>
          <w:color w:val="000000"/>
          <w:lang w:val="nl-NL"/>
        </w:rPr>
        <w:t>ULN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Note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: </w:t>
      </w:r>
      <w:proofErr w:type="spellStart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>If</w:t>
      </w:r>
      <w:proofErr w:type="spellEnd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>liver</w:t>
      </w:r>
      <w:proofErr w:type="spellEnd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 tumor/metastases are present, </w:t>
      </w:r>
      <w:proofErr w:type="spellStart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>then</w:t>
      </w:r>
      <w:proofErr w:type="spellEnd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 ≤ </w:t>
      </w: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5 </w:t>
      </w:r>
      <w:r w:rsidRPr="00DA17A4">
        <w:rPr>
          <w:rFonts w:ascii="Times New Roman" w:eastAsia="SymbolMT" w:hAnsi="Times New Roman" w:cs="Times New Roman"/>
          <w:color w:val="000000"/>
          <w:lang w:val="nl-NL"/>
        </w:rPr>
        <w:t xml:space="preserve"> </w:t>
      </w: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ULN is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allowed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d. Total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Bilirubin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≤ 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1.5 </w:t>
      </w:r>
      <w:r w:rsidRPr="00DA17A4">
        <w:rPr>
          <w:rFonts w:ascii="Times New Roman" w:eastAsia="SymbolMT" w:hAnsi="Times New Roman" w:cs="Times New Roman"/>
          <w:color w:val="000000"/>
          <w:lang w:val="nl-NL"/>
        </w:rPr>
        <w:t xml:space="preserve"> </w:t>
      </w:r>
      <w:r w:rsidRPr="00DA17A4">
        <w:rPr>
          <w:rFonts w:ascii="Times New Roman" w:hAnsi="Times New Roman" w:cs="Times New Roman"/>
          <w:color w:val="000000"/>
          <w:lang w:val="nl-NL"/>
        </w:rPr>
        <w:t>ULN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Note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: Subjects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Gilbert’s </w:t>
      </w:r>
      <w:proofErr w:type="spellStart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>syndrome</w:t>
      </w:r>
      <w:proofErr w:type="spellEnd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may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be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included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if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total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lastRenderedPageBreak/>
        <w:t>bilirubin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is </w:t>
      </w:r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≤ </w:t>
      </w: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3 </w:t>
      </w:r>
      <w:r w:rsidRPr="00DA17A4">
        <w:rPr>
          <w:rFonts w:ascii="Times New Roman" w:eastAsia="SymbolMT" w:hAnsi="Times New Roman" w:cs="Times New Roman"/>
          <w:color w:val="000000"/>
          <w:lang w:val="nl-NL"/>
        </w:rPr>
        <w:t xml:space="preserve"> </w:t>
      </w: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ULN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direct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bilirubin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is ≤ </w:t>
      </w: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1.5 </w:t>
      </w:r>
      <w:r w:rsidRPr="00DA17A4">
        <w:rPr>
          <w:rFonts w:ascii="Times New Roman" w:eastAsia="SymbolMT" w:hAnsi="Times New Roman" w:cs="Times New Roman"/>
          <w:color w:val="000000"/>
          <w:lang w:val="nl-NL"/>
        </w:rPr>
        <w:t xml:space="preserve"> </w:t>
      </w: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ULN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e.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Hemoglobin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≥ 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5.6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mmol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/L (9.0 g/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)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Note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: Blood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transfusion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may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be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administered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during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screening to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meet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this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requirement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f. Absolute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neutrophil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count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B-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NHL: 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≥ </w:t>
      </w:r>
      <w:r w:rsidRPr="00DA17A4">
        <w:rPr>
          <w:rFonts w:ascii="Times New Roman" w:hAnsi="Times New Roman" w:cs="Times New Roman"/>
          <w:color w:val="000000"/>
          <w:lang w:val="nl-NL"/>
        </w:rPr>
        <w:t>1.0</w:t>
      </w:r>
      <w:r w:rsidRPr="00DA17A4">
        <w:rPr>
          <w:rFonts w:ascii="Times New Roman" w:eastAsia="SymbolMT" w:hAnsi="Times New Roman" w:cs="Times New Roman"/>
          <w:color w:val="000000"/>
          <w:lang w:val="nl-NL"/>
        </w:rPr>
        <w:t></w:t>
      </w:r>
      <w:r w:rsidRPr="00DA17A4">
        <w:rPr>
          <w:rFonts w:ascii="Times New Roman" w:hAnsi="Times New Roman" w:cs="Times New Roman"/>
          <w:color w:val="000000"/>
          <w:lang w:val="nl-NL"/>
        </w:rPr>
        <w:t>10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9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/L (1,000/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μL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)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CLL: 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≥ </w:t>
      </w:r>
      <w:r w:rsidRPr="00DA17A4">
        <w:rPr>
          <w:rFonts w:ascii="Times New Roman" w:hAnsi="Times New Roman" w:cs="Times New Roman"/>
          <w:color w:val="000000"/>
          <w:lang w:val="nl-NL"/>
        </w:rPr>
        <w:t>1.0 x 10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9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/L (1,000/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μL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)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unless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due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bone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marrow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involvement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Note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: G-CSF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may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be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administered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during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screening to meet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this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requirement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g.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Platelet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count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B-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NHL: 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≥ </w:t>
      </w:r>
      <w:r w:rsidRPr="00DA17A4">
        <w:rPr>
          <w:rFonts w:ascii="Times New Roman" w:hAnsi="Times New Roman" w:cs="Times New Roman"/>
          <w:color w:val="000000"/>
          <w:lang w:val="nl-NL"/>
        </w:rPr>
        <w:t>75</w:t>
      </w:r>
      <w:r w:rsidRPr="00DA17A4">
        <w:rPr>
          <w:rFonts w:ascii="Times New Roman" w:eastAsia="SymbolMT" w:hAnsi="Times New Roman" w:cs="Times New Roman"/>
          <w:color w:val="000000"/>
          <w:lang w:val="nl-NL"/>
        </w:rPr>
        <w:t></w:t>
      </w:r>
      <w:r w:rsidRPr="00DA17A4">
        <w:rPr>
          <w:rFonts w:ascii="Times New Roman" w:hAnsi="Times New Roman" w:cs="Times New Roman"/>
          <w:color w:val="000000"/>
          <w:lang w:val="nl-NL"/>
        </w:rPr>
        <w:t>10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9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/L (75,000/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μL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)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Note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: In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presence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bone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marrow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involvement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splenomegaly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,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>platelets</w:t>
      </w:r>
      <w:proofErr w:type="spellEnd"/>
      <w:r w:rsidRPr="00DA17A4">
        <w:rPr>
          <w:rFonts w:ascii="Times New Roman" w:eastAsia="TimesNewRomanPS-ItalicMT" w:hAnsi="Times New Roman" w:cs="Times New Roman"/>
          <w:i/>
          <w:iCs/>
          <w:color w:val="000000"/>
          <w:lang w:val="nl-NL"/>
        </w:rPr>
        <w:t xml:space="preserve"> ≥ </w:t>
      </w:r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50 × 109/L.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CLL: 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≥ </w:t>
      </w:r>
      <w:r w:rsidRPr="00DA17A4">
        <w:rPr>
          <w:rFonts w:ascii="Times New Roman" w:hAnsi="Times New Roman" w:cs="Times New Roman"/>
          <w:color w:val="000000"/>
          <w:lang w:val="nl-NL"/>
        </w:rPr>
        <w:t>30 x 10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9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/L (30,000/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μL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)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bookmarkStart w:id="0" w:name="_GoBack"/>
      <w:bookmarkEnd w:id="0"/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Note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: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Transfusion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may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be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administered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during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screening to meet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this</w:t>
      </w:r>
      <w:proofErr w:type="spellEnd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i/>
          <w:iCs/>
          <w:color w:val="000000"/>
          <w:lang w:val="nl-NL"/>
        </w:rPr>
        <w:t>requirement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h. Coagulation Status: PT/ INR/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aPTT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Prothrombin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time (PT)/International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normalized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ratio (INR)/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Activated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partial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thromboplastin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time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aPTT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) 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≤ </w:t>
      </w:r>
      <w:r w:rsidRPr="00DA17A4">
        <w:rPr>
          <w:rFonts w:ascii="Times New Roman" w:hAnsi="Times New Roman" w:cs="Times New Roman"/>
          <w:color w:val="000000"/>
          <w:lang w:val="nl-NL"/>
        </w:rPr>
        <w:t>1.5 x ULN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10.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Criterion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updated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 per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Amendment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3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10.1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woman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reproductive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potential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must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agree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adequate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contraception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during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trial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12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after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last GEN3009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administration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. Adequate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contraception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is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defined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highly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effective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methods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contraception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refer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r w:rsidRPr="00DA17A4">
        <w:rPr>
          <w:rFonts w:ascii="Times New Roman" w:hAnsi="Times New Roman" w:cs="Times New Roman"/>
          <w:color w:val="0000FF"/>
          <w:lang w:val="nl-NL"/>
        </w:rPr>
        <w:t xml:space="preserve">Appendix 12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more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information). 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countries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where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2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highly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effective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methods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contraception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are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required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both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methods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required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inclusion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11.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Criterion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updated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 per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Amendment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3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11.1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woman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childbearing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potential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must have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negative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serum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beta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-human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chorionic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gonadotropin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beta-hCG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) at screening.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12.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woman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must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agree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donate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eggs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ova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oocytes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)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purposes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assisted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reproduction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during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trial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12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after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receiving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last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GEN3009.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13. A man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who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sexually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active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woman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childbearing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potential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has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had a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vasectomy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must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agree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barrier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method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birth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control, eg,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either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condom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spermicidal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foam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/gel/film/cream/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suppository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partner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occlusive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cap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diaphragm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cervical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vault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caps)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spermicidal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foam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/gel/film/cream/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suppository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men must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also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donate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sperm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during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trial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12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after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receiving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last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GEN3009.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14. Must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willing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able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adhere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requirements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restrictions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specified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ICF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this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protocol.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nl-NL"/>
        </w:rPr>
      </w:pPr>
      <w:r w:rsidRPr="00DA17A4">
        <w:rPr>
          <w:rFonts w:ascii="Times New Roman" w:hAnsi="Times New Roman" w:cs="Times New Roman"/>
          <w:b/>
          <w:bCs/>
          <w:color w:val="000000"/>
          <w:lang w:val="nl-NL"/>
        </w:rPr>
        <w:t xml:space="preserve">5.2 </w:t>
      </w:r>
      <w:proofErr w:type="spellStart"/>
      <w:r w:rsidRPr="00DA17A4">
        <w:rPr>
          <w:rFonts w:ascii="Times New Roman" w:hAnsi="Times New Roman" w:cs="Times New Roman"/>
          <w:b/>
          <w:bCs/>
          <w:color w:val="000000"/>
          <w:lang w:val="nl-NL"/>
        </w:rPr>
        <w:t>Exclusion</w:t>
      </w:r>
      <w:proofErr w:type="spellEnd"/>
      <w:r w:rsidRPr="00DA17A4">
        <w:rPr>
          <w:rFonts w:ascii="Times New Roman" w:hAnsi="Times New Roman" w:cs="Times New Roman"/>
          <w:b/>
          <w:bCs/>
          <w:color w:val="000000"/>
          <w:lang w:val="nl-NL"/>
        </w:rPr>
        <w:t xml:space="preserve"> Criteria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potential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subject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who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meets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following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criteria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excluded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from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participating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trial.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1. Prior treatment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CD37-targeting agent.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2. Prior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allogeneic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HSCT.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3.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Autologous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HSCT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3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before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first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GEN3009.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4. Treatment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anti-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cancer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biologic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including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anti-CD20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, radio-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conjugated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toxin-conjugated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antibody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chimeric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antigen receptor (CAR) 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lastRenderedPageBreak/>
        <w:t>4 weeks or 5 half-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lives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whichever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shorter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before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first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GEN3009.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5.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Chemotherapy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radiation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2 weeks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first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GEN3009.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6. Treatment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investigational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drug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invasive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investigational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medical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device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4 weeks or 5 half-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lives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whichever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shorter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prior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first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GEN3009.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7.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Autoimmune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disease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other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diseases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that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require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permanent or high-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immunosuppressive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8.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Received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cumulative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corticosteroids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more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equivalent of 250 mg of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prednisone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2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>–</w:t>
      </w:r>
      <w:r w:rsidRPr="00DA17A4">
        <w:rPr>
          <w:rFonts w:ascii="Times New Roman" w:hAnsi="Times New Roman" w:cs="Times New Roman"/>
          <w:color w:val="000000"/>
          <w:lang w:val="nl-NL"/>
        </w:rPr>
        <w:t xml:space="preserve">week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period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before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first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GEN3009.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: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Refer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Section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r w:rsidRPr="00DA17A4">
        <w:rPr>
          <w:rFonts w:ascii="Times New Roman" w:hAnsi="Times New Roman" w:cs="Times New Roman"/>
          <w:color w:val="0000FF"/>
          <w:lang w:val="nl-NL"/>
        </w:rPr>
        <w:t xml:space="preserve">6.5.2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steroid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limitations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during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study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treatment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period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9. Has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uncontrolled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intercurrent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illness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including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but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limited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to: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a.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Ongoing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active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infection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requiring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intravenous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antibiotics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treatment at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time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enrollment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previous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2 weeks prior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first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GEN3009.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b.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Symptomatic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congestive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heart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failure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grade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III or IV 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classified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New York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Heart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Association ([NYHA]),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unstable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angina pectoris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cardiac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arrhythmia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refer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to </w:t>
      </w:r>
      <w:r w:rsidRPr="00DA17A4">
        <w:rPr>
          <w:rFonts w:ascii="Times New Roman" w:hAnsi="Times New Roman" w:cs="Times New Roman"/>
          <w:color w:val="0000FF"/>
          <w:lang w:val="nl-NL"/>
        </w:rPr>
        <w:t>Appendix 2</w:t>
      </w:r>
      <w:r w:rsidRPr="00DA17A4">
        <w:rPr>
          <w:rFonts w:ascii="Times New Roman" w:hAnsi="Times New Roman" w:cs="Times New Roman"/>
          <w:color w:val="000000"/>
          <w:lang w:val="nl-NL"/>
        </w:rPr>
        <w:t>).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c.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Myocardial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infarction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intracranial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bleed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stroke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past 6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d. Screening 12-</w:t>
      </w:r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lead ECG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showing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a baseline QT interval as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corrected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by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Fridericia</w:t>
      </w:r>
      <w:proofErr w:type="spellEnd"/>
      <w:r w:rsidRPr="00DA17A4">
        <w:rPr>
          <w:rFonts w:ascii="Times New Roman" w:eastAsia="TimesNewRomanPSMT" w:hAnsi="Times New Roman" w:cs="Times New Roman"/>
          <w:color w:val="000000"/>
          <w:lang w:val="nl-NL"/>
        </w:rPr>
        <w:t>’s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formula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QTcF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) &gt;480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msec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10.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Toxicities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from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previous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anti-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cancer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therapies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have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resolved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baseline levels or to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Grade 1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less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except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alopecia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peripheral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neuropathy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11.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Primary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central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nervous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system (CNS)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lymphoma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known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CNS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involvement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at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screening.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12. Has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known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past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current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malignancy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other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inclusion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diagnosis,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except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: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a.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Cervical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carcinoma of Stage 1B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less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b.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Non-invasive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basal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squamous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cell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skin carcinoma.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c.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Non-invasive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superficial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bladder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cancer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d.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Prostate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cancer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current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PSA level &lt; 0.1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e.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Criterion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deleted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 per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Amendment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3.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f.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curable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cancer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CR of &gt;2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years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duration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13. Intolerant to GEN3009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excipients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refer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IB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more information).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14. Has had major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surgery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(eg,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requiring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general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anesthesia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)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3 weeks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before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screening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will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have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fully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recovered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from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surgery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or has major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surgery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planned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during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time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subject is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expected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participate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trial (or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4 weeks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after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last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>GEN3009).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: Subjects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planned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minor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surgical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procedures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conducted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under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local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anesthesia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may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participate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15. Has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known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history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/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positive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serology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hepatitis B (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unless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immune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due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vaccination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resolved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natural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infection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unless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passive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immunization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due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immunoglobulin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therapy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):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eastAsia="SymbolMT" w:hAnsi="Times New Roman" w:cs="Times New Roman"/>
          <w:color w:val="000000"/>
          <w:lang w:val="nl-NL"/>
        </w:rPr>
        <w:t xml:space="preserve">•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Positive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test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antibodies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hepatitis B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core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antigen (anti-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HBc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)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b/>
          <w:bCs/>
          <w:color w:val="000000"/>
          <w:lang w:val="nl-NL"/>
        </w:rPr>
        <w:t>and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eastAsia="SymbolMT" w:hAnsi="Times New Roman" w:cs="Times New Roman"/>
          <w:color w:val="000000"/>
          <w:lang w:val="nl-NL"/>
        </w:rPr>
        <w:t xml:space="preserve">•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Negative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test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antibodies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hepatitis B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surface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antigen (anti-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HBs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).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16.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Known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medical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history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ongoing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hepatitis C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infection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that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has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been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cured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Confidential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Page 50 of 116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17. HIV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tested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positive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at screening.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18. Is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woman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who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is pregnant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breast-feeding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who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is planning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become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pregnant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while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enrolled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this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trial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12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after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last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GEN3009.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19. Is a man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who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plans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to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father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child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while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enrolled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this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trial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within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12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months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after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last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dose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of GEN3009.</w:t>
      </w:r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20. Has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any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condition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for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which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, 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opinion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investigator,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participation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would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not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</w:t>
      </w:r>
      <w:proofErr w:type="spellEnd"/>
    </w:p>
    <w:p w:rsidR="00DA17A4" w:rsidRPr="00DA17A4" w:rsidRDefault="00DA17A4" w:rsidP="00DA1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l-NL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in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best interest of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subject (eg,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compromise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well-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being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)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that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could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prevent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>,</w:t>
      </w:r>
    </w:p>
    <w:p w:rsidR="00AC4EEA" w:rsidRPr="00DA17A4" w:rsidRDefault="00DA17A4" w:rsidP="00DA17A4">
      <w:pPr>
        <w:rPr>
          <w:rFonts w:ascii="Times New Roman" w:hAnsi="Times New Roman" w:cs="Times New Roman"/>
        </w:rPr>
      </w:pPr>
      <w:r w:rsidRPr="00DA17A4">
        <w:rPr>
          <w:rFonts w:ascii="Times New Roman" w:hAnsi="Times New Roman" w:cs="Times New Roman"/>
          <w:color w:val="000000"/>
          <w:lang w:val="nl-NL"/>
        </w:rPr>
        <w:t xml:space="preserve">limit, or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confound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the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protocol-</w:t>
      </w:r>
      <w:proofErr w:type="spellStart"/>
      <w:r w:rsidRPr="00DA17A4">
        <w:rPr>
          <w:rFonts w:ascii="Times New Roman" w:hAnsi="Times New Roman" w:cs="Times New Roman"/>
          <w:color w:val="000000"/>
          <w:lang w:val="nl-NL"/>
        </w:rPr>
        <w:t>specified</w:t>
      </w:r>
      <w:proofErr w:type="spellEnd"/>
      <w:r w:rsidRPr="00DA17A4">
        <w:rPr>
          <w:rFonts w:ascii="Times New Roman" w:hAnsi="Times New Roman" w:cs="Times New Roman"/>
          <w:color w:val="000000"/>
          <w:lang w:val="nl-NL"/>
        </w:rPr>
        <w:t xml:space="preserve"> assessments.</w:t>
      </w:r>
    </w:p>
    <w:sectPr w:rsidR="00AC4EEA" w:rsidRPr="00DA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A4"/>
    <w:rsid w:val="0040686F"/>
    <w:rsid w:val="006F2FA0"/>
    <w:rsid w:val="00D16757"/>
    <w:rsid w:val="00D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A867"/>
  <w15:chartTrackingRefBased/>
  <w15:docId w15:val="{D0709C47-2044-41C5-9978-2836BE83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1857</Words>
  <Characters>10214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Chamuleau, M.E.D.</dc:creator>
  <cp:keywords/>
  <dc:description/>
  <cp:lastModifiedBy>Chamuleau, M.E.D.</cp:lastModifiedBy>
  <cp:revision>1</cp:revision>
  <dcterms:created xsi:type="dcterms:W3CDTF">2021-01-02T09:34:00Z</dcterms:created>
  <dcterms:modified xsi:type="dcterms:W3CDTF">2021-01-02T09:37:00Z</dcterms:modified>
</cp:coreProperties>
</file>